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10" w:left="10" w:right="14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 w:color="000000"/>
        </w:rPr>
        <w:t>Образец № 1</w:t>
      </w:r>
    </w:p>
    <w:p>
      <w:pPr>
        <w:pStyle w:val="Normal"/>
        <w:spacing w:lineRule="auto" w:line="259" w:before="0" w:after="402"/>
        <w:ind w:hanging="0" w:left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 левов превод</w:t>
      </w:r>
    </w:p>
    <w:p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1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40" w:before="0" w:after="494"/>
        <w:ind w:firstLine="4" w:left="28" w:right="187"/>
        <w:rPr/>
      </w:pPr>
      <w:r>
        <w:rPr>
          <w:sz w:val="24"/>
          <w:szCs w:val="24"/>
        </w:rPr>
        <w:tab/>
        <w:t xml:space="preserve">че съм получил необходимата задължителна информация за фактическото и правното състояние на  недвижим имот – обособена част от лечебно заведение, собственост на </w:t>
      </w:r>
      <w:bookmarkStart w:id="0" w:name="__DdeLink__402_2127581717"/>
      <w:r>
        <w:rPr>
          <w:sz w:val="24"/>
          <w:szCs w:val="24"/>
        </w:rPr>
        <w:t xml:space="preserve">СБПЛРББ „Царица Йоанна“ ЕООД - град Трявна, представляващ </w:t>
      </w:r>
      <w:bookmarkEnd w:id="0"/>
      <w:r>
        <w:rPr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/>
          <w:b/>
          <w:bCs/>
          <w:sz w:val="24"/>
          <w:szCs w:val="24"/>
        </w:rPr>
        <w:t>73403.149.1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/>
          <w:b/>
          <w:bCs/>
          <w:sz w:val="24"/>
          <w:szCs w:val="24"/>
        </w:rPr>
        <w:t>73403.49.7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/>
          <w:b/>
          <w:bCs/>
          <w:sz w:val="24"/>
          <w:szCs w:val="24"/>
        </w:rPr>
        <w:t>73403.49.8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/>
          <w:b/>
          <w:bCs/>
          <w:sz w:val="24"/>
          <w:szCs w:val="24"/>
        </w:rPr>
        <w:t>73403.149.14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/>
          <w:b w:val="false"/>
          <w:bCs w:val="false"/>
          <w:sz w:val="24"/>
          <w:szCs w:val="24"/>
        </w:rPr>
        <w:t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, </w:t>
      </w:r>
      <w:r>
        <w:rPr>
          <w:sz w:val="24"/>
          <w:szCs w:val="24"/>
        </w:rPr>
        <w:t>съгласно Наредбата за задължителната информация, предоставяна на лицата, заявили интерес за участие в приватизацията по ЗПСК, и за документите и сведенията, представляващи служебна тайна, и тази информация е достатъчна да се считам запознат със състоянието на Имота към датата на провеждане на търга. Моля, в случай че</w:t>
      </w:r>
      <w:bookmarkStart w:id="1" w:name="__DdeLink__122_2023073675"/>
      <w:r>
        <w:rPr>
          <w:sz w:val="24"/>
          <w:szCs w:val="24"/>
        </w:rPr>
        <w:t xml:space="preserve"> не спечеля /представляваното от мен дружество/юридическо лице не спечели/</w:t>
      </w:r>
      <w:bookmarkEnd w:id="1"/>
      <w:r>
        <w:rPr>
          <w:sz w:val="24"/>
          <w:szCs w:val="24"/>
        </w:rPr>
        <w:t xml:space="preserve"> търга, внесеният депозит за участие да бъде преведен по банков път, както следва:</w:t>
      </w:r>
    </w:p>
    <w:p>
      <w:pPr>
        <w:pStyle w:val="Normal"/>
        <w:spacing w:lineRule="auto" w:line="240" w:before="0" w:after="494"/>
        <w:ind w:firstLine="4" w:left="28" w:right="187"/>
        <w:rPr/>
      </w:pPr>
      <w:r>
        <w:rPr>
          <w:sz w:val="24"/>
          <w:szCs w:val="24"/>
          <w:lang w:val="en-US"/>
        </w:rPr>
        <w:t>IВАN: ………………………………………………………………….</w:t>
      </w:r>
    </w:p>
    <w:p>
      <w:pPr>
        <w:pStyle w:val="Normal"/>
        <w:spacing w:lineRule="auto" w:line="240" w:before="0" w:after="494"/>
        <w:ind w:firstLine="4" w:left="28" w:right="187"/>
        <w:rPr/>
      </w:pPr>
      <w:r>
        <w:rPr>
          <w:sz w:val="24"/>
          <w:szCs w:val="24"/>
          <w:lang w:val="en-US"/>
        </w:rPr>
        <w:t>BIC:…………………………………………………………..</w:t>
      </w:r>
    </w:p>
    <w:p>
      <w:pPr>
        <w:pStyle w:val="Normal"/>
        <w:spacing w:lineRule="auto" w:line="240" w:before="0" w:after="0"/>
        <w:ind w:hanging="10" w:left="45"/>
        <w:jc w:val="left"/>
        <w:rPr/>
      </w:pPr>
      <w:r>
        <w:rPr>
          <w:sz w:val="24"/>
          <w:szCs w:val="24"/>
        </w:rPr>
        <w:t>Банка на бенефициента: .......................................................</w:t>
      </w:r>
    </w:p>
    <w:p>
      <w:pPr>
        <w:pStyle w:val="Normal"/>
        <w:spacing w:lineRule="auto" w:line="240" w:before="0" w:after="0"/>
        <w:ind w:hanging="10" w:left="45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10" w:left="45"/>
        <w:jc w:val="left"/>
        <w:rPr/>
      </w:pPr>
      <w:r>
        <w:rPr>
          <w:sz w:val="24"/>
          <w:szCs w:val="24"/>
        </w:rPr>
        <w:t>Бенефициент: .........................................................................</w:t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sz w:val="24"/>
          <w:szCs w:val="24"/>
        </w:rPr>
        <w:t xml:space="preserve">дата: </w:t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1193800" cy="952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760" cy="9360"/>
                          <a:chOff x="0" y="0"/>
                          <a:chExt cx="1193760" cy="93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193760" cy="9360"/>
                          </a:xfrm>
                          <a:custGeom>
                            <a:avLst/>
                            <a:gdLst>
                              <a:gd name="textAreaLeft" fmla="*/ 0 w 676800"/>
                              <a:gd name="textAreaRight" fmla="*/ 677160 w 67680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0.8pt;width:94pt;height:0.75pt" coordorigin="0,-16" coordsize="1880,15"/>
            </w:pict>
          </mc:Fallback>
        </mc:AlternateContent>
      </w:r>
      <w:r>
        <w:rPr>
          <w:sz w:val="24"/>
          <w:szCs w:val="24"/>
        </w:rPr>
        <w:tab/>
        <w:t>ДЕКЛАРАТОР: ......................................</w:t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10" w:left="10" w:right="14"/>
        <w:jc w:val="right"/>
        <w:rPr>
          <w:u w:val="single" w:color="000000"/>
        </w:rPr>
      </w:pPr>
      <w:r>
        <w:rPr>
          <w:u w:val="single" w:color="000000"/>
        </w:rPr>
      </w:r>
    </w:p>
    <w:p>
      <w:pPr>
        <w:pStyle w:val="Normal"/>
        <w:spacing w:lineRule="auto" w:line="259" w:before="0" w:after="0"/>
        <w:ind w:hanging="0" w:left="79" w:right="14"/>
        <w:jc w:val="right"/>
        <w:rPr/>
      </w:pPr>
      <w:r>
        <w:rPr>
          <w:sz w:val="24"/>
          <w:szCs w:val="24"/>
          <w:u w:val="single" w:color="000000"/>
        </w:rPr>
        <w:t>Образец № 1 А</w:t>
      </w:r>
    </w:p>
    <w:p>
      <w:pPr>
        <w:pStyle w:val="Normal"/>
        <w:spacing w:lineRule="auto" w:line="259" w:before="0" w:after="173"/>
        <w:ind w:hanging="0" w:left="0" w:right="79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За валутен превод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36"/>
        <w:ind w:firstLine="4" w:left="28" w:right="43"/>
        <w:rPr/>
      </w:pPr>
      <w:r>
        <w:rPr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Heading2"/>
        <w:ind w:firstLine="4" w:left="79" w:right="58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before="0" w:after="494"/>
        <w:ind w:firstLine="4" w:left="28" w:right="187"/>
        <w:rPr/>
      </w:pPr>
      <w:r>
        <w:rPr>
          <w:sz w:val="24"/>
          <w:szCs w:val="24"/>
        </w:rPr>
        <w:tab/>
        <w:t>че съм получил необходимата задължителна информация за имущественото и правното състояние на недвижим имот</w:t>
      </w:r>
      <w:bookmarkStart w:id="2" w:name="_GoBack"/>
      <w:bookmarkEnd w:id="2"/>
      <w:r>
        <w:rPr>
          <w:sz w:val="24"/>
          <w:szCs w:val="24"/>
        </w:rPr>
        <w:t xml:space="preserve">  – обособена част от лечебно заведение, собственост на СБПЛРББ „Царица Йоанна“ ЕООД - град Трявна, представляващ 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/>
          <w:b/>
          <w:bCs/>
          <w:sz w:val="24"/>
          <w:szCs w:val="24"/>
        </w:rPr>
        <w:t>73403.149.1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/>
          <w:b/>
          <w:bCs/>
          <w:sz w:val="24"/>
          <w:szCs w:val="24"/>
        </w:rPr>
        <w:t>73403.49.7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/>
          <w:b/>
          <w:bCs/>
          <w:sz w:val="24"/>
          <w:szCs w:val="24"/>
        </w:rPr>
        <w:t>73403.49.8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/>
          <w:b/>
          <w:bCs/>
          <w:sz w:val="24"/>
          <w:szCs w:val="24"/>
        </w:rPr>
        <w:t>73403.149.14</w:t>
      </w:r>
      <w:r>
        <w:rPr>
          <w:rFonts w:eastAsia="Times New Roman" w:cs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rFonts w:eastAsia="Times New Roman" w:cs="Times New Roman"/>
          <w:b w:val="false"/>
          <w:bCs w:val="false"/>
          <w:sz w:val="24"/>
          <w:szCs w:val="24"/>
        </w:rPr>
        <w:t xml:space="preserve"> 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/>
          <w:b w:val="false"/>
          <w:bCs w:val="false"/>
          <w:sz w:val="24"/>
          <w:szCs w:val="24"/>
        </w:rPr>
        <w:t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</w:t>
      </w:r>
      <w:r>
        <w:rPr>
          <w:rFonts w:eastAsia="Times New Roman" w:cs="Times New Roman"/>
          <w:b w:val="false"/>
          <w:bCs w:val="false"/>
          <w:sz w:val="24"/>
          <w:szCs w:val="24"/>
        </w:rPr>
        <w:t>,</w:t>
      </w:r>
      <w:r>
        <w:rPr>
          <w:sz w:val="24"/>
          <w:szCs w:val="24"/>
        </w:rPr>
        <w:t xml:space="preserve"> съгласно Наредбата за задължителната информация, предоставяна на лицата, заявили интерес за участие в приватизацията по ЗПСК, и за документите и сведенията, представляващи служебна тайна, и тази информация е достатъчна да се считам запознат със състоянието на Имота към датата на провеждане на търга.</w:t>
      </w:r>
    </w:p>
    <w:p>
      <w:pPr>
        <w:pStyle w:val="Normal"/>
        <w:spacing w:before="0" w:after="470"/>
        <w:ind w:firstLine="706" w:left="28" w:right="43"/>
        <w:rPr/>
      </w:pPr>
      <w:r>
        <w:rPr>
          <w:sz w:val="24"/>
          <w:szCs w:val="24"/>
        </w:rPr>
        <w:t>Моля, в случай че не спечеля /представляваното от мен дружество/юридическо лице не спечели/, внесеният депозит за участие да бъде преведен по банков път, както следва:</w:t>
      </w:r>
    </w:p>
    <w:p>
      <w:pPr>
        <w:pStyle w:val="Normal"/>
        <w:spacing w:before="0" w:after="223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*Валута и сума на превода:.</w:t>
      </w:r>
      <w:r>
        <w:rPr/>
        <w:drawing>
          <wp:inline distT="0" distB="0" distL="0" distR="0">
            <wp:extent cx="3931920" cy="36830"/>
            <wp:effectExtent l="0" t="0" r="0" b="0"/>
            <wp:docPr id="3" name="Picture 120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0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186"/>
        <w:ind w:hanging="10" w:left="45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 на бенефициента:.</w:t>
      </w:r>
      <w:r>
        <w:rPr/>
        <w:drawing>
          <wp:inline distT="0" distB="0" distL="0" distR="0">
            <wp:extent cx="4201795" cy="27305"/>
            <wp:effectExtent l="0" t="0" r="0" b="0"/>
            <wp:docPr id="4" name="Picture 120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05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195"/>
        <w:ind w:hanging="10" w:left="45"/>
        <w:jc w:val="left"/>
        <w:rPr/>
      </w:pPr>
      <w:r>
        <w:rPr>
          <w:sz w:val="24"/>
          <w:szCs w:val="24"/>
        </w:rPr>
        <w:t>*Адрес на бенефициента (улица, №, град, държава):...</w:t>
      </w:r>
      <w:r>
        <w:rPr/>
        <w:drawing>
          <wp:inline distT="0" distB="0" distL="0" distR="0">
            <wp:extent cx="2203450" cy="22860"/>
            <wp:effectExtent l="0" t="0" r="0" b="0"/>
            <wp:docPr id="5" name="Picture 120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0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191"/>
        <w:ind w:hanging="10" w:left="45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*Банка на бенефициента:</w:t>
      </w:r>
      <w:r>
        <w:rPr/>
        <w:drawing>
          <wp:inline distT="0" distB="0" distL="0" distR="0">
            <wp:extent cx="4128770" cy="22860"/>
            <wp:effectExtent l="0" t="0" r="0" b="0"/>
            <wp:docPr id="6" name="Picture 120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06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75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Адрес на Банката (улица, №, град, държава):.</w:t>
      </w:r>
      <w:r>
        <w:rPr/>
        <w:drawing>
          <wp:inline distT="0" distB="0" distL="0" distR="0">
            <wp:extent cx="2761615" cy="27305"/>
            <wp:effectExtent l="0" t="0" r="0" b="0"/>
            <wp:docPr id="7" name="Picture 120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06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774"/>
        <w:ind w:hanging="0" w:left="5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SWlFT/Elpyr банков код:.</w:t>
      </w:r>
      <w:r>
        <w:rPr/>
        <w:drawing>
          <wp:inline distT="0" distB="0" distL="0" distR="0">
            <wp:extent cx="4247515" cy="22860"/>
            <wp:effectExtent l="0" t="0" r="0" b="0"/>
            <wp:docPr id="8" name="Picture 120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06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sz w:val="24"/>
          <w:szCs w:val="24"/>
        </w:rPr>
        <w:t xml:space="preserve">дата: </w:t>
      </w: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1193800" cy="9525"/>
                <wp:effectExtent l="0" t="0" r="0" b="0"/>
                <wp:docPr id="9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760" cy="9360"/>
                          <a:chOff x="0" y="0"/>
                          <a:chExt cx="1193760" cy="936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1193760" cy="9360"/>
                          </a:xfrm>
                          <a:custGeom>
                            <a:avLst/>
                            <a:gdLst>
                              <a:gd name="textAreaLeft" fmla="*/ 0 w 676800"/>
                              <a:gd name="textAreaRight" fmla="*/ 677160 w 67680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2" style="position:absolute;margin-left:0pt;margin-top:-0.8pt;width:94pt;height:0.75pt" coordorigin="0,-16" coordsize="1880,15"/>
            </w:pict>
          </mc:Fallback>
        </mc:AlternateContent>
      </w:r>
      <w:r>
        <w:rPr>
          <w:sz w:val="24"/>
          <w:szCs w:val="24"/>
        </w:rPr>
        <w:tab/>
        <w:t>ДЕКЛАРАТОР: ......................................</w:t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/>
      </w:r>
    </w:p>
    <w:sectPr>
      <w:type w:val="nextPage"/>
      <w:pgSz w:w="11906" w:h="16838"/>
      <w:pgMar w:left="1332" w:right="1102" w:gutter="0" w:header="0" w:top="1068" w:footer="0" w:bottom="41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4"/>
      <w:ind w:firstLine="4" w:left="79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107"/>
      <w:ind w:hanging="10" w:left="17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uiPriority w:val="9"/>
    <w:unhideWhenUsed/>
    <w:qFormat/>
    <w:pPr>
      <w:keepNext w:val="true"/>
      <w:keepLines/>
      <w:widowControl/>
      <w:bidi w:val="0"/>
      <w:spacing w:before="240" w:after="235"/>
      <w:ind w:hanging="10" w:left="24"/>
      <w:jc w:val="center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лавие 2 Знак"/>
    <w:qFormat/>
    <w:rPr>
      <w:rFonts w:ascii="Times New Roman" w:hAnsi="Times New Roman" w:eastAsia="Times New Roman" w:cs="Times New Roman"/>
      <w:color w:val="000000"/>
      <w:sz w:val="22"/>
    </w:rPr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LibreOffice/7.6.4.1$Windows_X86_64 LibreOffice_project/e19e193f88cd6c0525a17fb7a176ed8e6a3e2aa1</Application>
  <AppVersion>15.0000</AppVersion>
  <DocSecurity>0</DocSecurity>
  <Pages>4</Pages>
  <Words>1397</Words>
  <Characters>9160</Characters>
  <CharactersWithSpaces>10558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2020-02-04T09:48:00Z</dcterms:created>
  <dc:creator>Потребител на Windows</dc:creator>
  <dc:description/>
  <dc:language>bg-BG</dc:language>
  <cp:lastModifiedBy/>
  <cp:lastPrinted>2025-09-29T12:48:23Z</cp:lastPrinted>
  <dcterms:modified xsi:type="dcterms:W3CDTF">2025-09-29T12:52:58Z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